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E7C00" w14:textId="7E8C3F73" w:rsidR="00DB697C" w:rsidRPr="00EC2609" w:rsidRDefault="00EC2609" w:rsidP="000B67AA">
      <w:pPr>
        <w:numPr>
          <w:ilvl w:val="0"/>
          <w:numId w:val="1"/>
        </w:numPr>
        <w:spacing w:before="240" w:line="228" w:lineRule="auto"/>
        <w:jc w:val="both"/>
        <w:rPr>
          <w:rFonts w:ascii="Arial" w:hAnsi="Arial" w:cs="Arial"/>
          <w:sz w:val="22"/>
          <w:szCs w:val="22"/>
        </w:rPr>
      </w:pPr>
      <w:r>
        <w:rPr>
          <w:rFonts w:ascii="Arial" w:hAnsi="Arial" w:cs="Arial"/>
          <w:bCs/>
          <w:spacing w:val="-3"/>
          <w:sz w:val="22"/>
          <w:szCs w:val="22"/>
        </w:rPr>
        <w:t xml:space="preserve">In response to the Queensland Government’s election commitment to legislate against coercive control, in March 2021 the independent Women’s Safety and Justice Taskforce (the Taskforce) was established to examine coercive control, the need for a specific offence of domestic violence and the experience of women across the criminal justice system. </w:t>
      </w:r>
    </w:p>
    <w:p w14:paraId="1947EC4D" w14:textId="7591AAEC" w:rsidR="00EC2609" w:rsidRPr="009E58A9" w:rsidRDefault="00EC2609" w:rsidP="009E58A9">
      <w:pPr>
        <w:numPr>
          <w:ilvl w:val="0"/>
          <w:numId w:val="1"/>
        </w:numPr>
        <w:spacing w:before="240" w:line="228" w:lineRule="auto"/>
        <w:jc w:val="both"/>
        <w:rPr>
          <w:rFonts w:ascii="Arial" w:hAnsi="Arial" w:cs="Arial"/>
          <w:sz w:val="22"/>
          <w:szCs w:val="22"/>
        </w:rPr>
      </w:pPr>
      <w:r>
        <w:rPr>
          <w:rFonts w:ascii="Arial" w:hAnsi="Arial" w:cs="Arial"/>
          <w:bCs/>
          <w:spacing w:val="-3"/>
          <w:sz w:val="22"/>
          <w:szCs w:val="22"/>
        </w:rPr>
        <w:t xml:space="preserve">The Criminal Law (Coercive Control and Affirmative Consent) and Other Legislation Amendment Bill 2023 (the Bill) </w:t>
      </w:r>
      <w:r w:rsidR="00A17E5E">
        <w:rPr>
          <w:rFonts w:ascii="Arial" w:hAnsi="Arial" w:cs="Arial"/>
          <w:bCs/>
          <w:spacing w:val="-3"/>
          <w:sz w:val="22"/>
          <w:szCs w:val="22"/>
        </w:rPr>
        <w:t>delivers the second tranche of legislative reform arising from recommendations made by the Taskforce</w:t>
      </w:r>
      <w:r w:rsidR="009E58A9">
        <w:rPr>
          <w:rFonts w:ascii="Arial" w:hAnsi="Arial" w:cs="Arial"/>
          <w:bCs/>
          <w:spacing w:val="-3"/>
          <w:sz w:val="22"/>
          <w:szCs w:val="22"/>
        </w:rPr>
        <w:t>.</w:t>
      </w:r>
      <w:r w:rsidR="00A17E5E">
        <w:rPr>
          <w:rFonts w:ascii="Arial" w:hAnsi="Arial" w:cs="Arial"/>
          <w:bCs/>
          <w:spacing w:val="-3"/>
          <w:sz w:val="22"/>
          <w:szCs w:val="22"/>
        </w:rPr>
        <w:t xml:space="preserve"> </w:t>
      </w:r>
      <w:r w:rsidR="00A17E5E" w:rsidRPr="00DF757C">
        <w:rPr>
          <w:rFonts w:ascii="Arial" w:hAnsi="Arial" w:cs="Arial"/>
          <w:bCs/>
          <w:spacing w:val="-3"/>
          <w:sz w:val="22"/>
          <w:szCs w:val="22"/>
        </w:rPr>
        <w:t>This b</w:t>
      </w:r>
      <w:r w:rsidRPr="00DF757C">
        <w:rPr>
          <w:rFonts w:ascii="Arial" w:hAnsi="Arial" w:cs="Arial"/>
          <w:bCs/>
          <w:spacing w:val="-3"/>
          <w:sz w:val="22"/>
          <w:szCs w:val="22"/>
        </w:rPr>
        <w:t xml:space="preserve">uilds on the groundwork established by the </w:t>
      </w:r>
      <w:r w:rsidRPr="00DF757C">
        <w:rPr>
          <w:rFonts w:ascii="Arial" w:hAnsi="Arial" w:cs="Arial"/>
          <w:bCs/>
          <w:i/>
          <w:iCs/>
          <w:spacing w:val="-3"/>
          <w:sz w:val="22"/>
          <w:szCs w:val="22"/>
        </w:rPr>
        <w:t>Domestic and Family Violence Protection (Combating Coercive Control) and Other Legislation Amendment Act 2023</w:t>
      </w:r>
      <w:r w:rsidRPr="00DF757C">
        <w:rPr>
          <w:rFonts w:ascii="Arial" w:hAnsi="Arial" w:cs="Arial"/>
          <w:bCs/>
          <w:spacing w:val="-3"/>
          <w:sz w:val="22"/>
          <w:szCs w:val="22"/>
        </w:rPr>
        <w:t>, which was introduced into Parliament on 14 October 2022 and passed on 22 February 2023.</w:t>
      </w:r>
      <w:r w:rsidR="00FB0CDA" w:rsidRPr="00FB0CDA">
        <w:rPr>
          <w:rFonts w:ascii="Arial" w:hAnsi="Arial" w:cs="Arial"/>
          <w:bCs/>
          <w:spacing w:val="-3"/>
          <w:sz w:val="22"/>
          <w:szCs w:val="22"/>
        </w:rPr>
        <w:t xml:space="preserve"> </w:t>
      </w:r>
      <w:r w:rsidR="009E58A9">
        <w:rPr>
          <w:rFonts w:ascii="Arial" w:hAnsi="Arial" w:cs="Arial"/>
          <w:bCs/>
          <w:spacing w:val="-3"/>
          <w:sz w:val="22"/>
          <w:szCs w:val="22"/>
        </w:rPr>
        <w:t>The Bill also responds to two related recommendations from the Commission of Inquiry into Queensland Police Service Responses to Domestic and Family Violence.</w:t>
      </w:r>
    </w:p>
    <w:p w14:paraId="2F470B78" w14:textId="706A8985" w:rsidR="00DF757C" w:rsidRPr="00A17E5E" w:rsidRDefault="00DF757C" w:rsidP="00DF757C">
      <w:pPr>
        <w:numPr>
          <w:ilvl w:val="0"/>
          <w:numId w:val="1"/>
        </w:numPr>
        <w:spacing w:before="240" w:line="228" w:lineRule="auto"/>
        <w:jc w:val="both"/>
        <w:rPr>
          <w:rFonts w:ascii="Arial" w:hAnsi="Arial" w:cs="Arial"/>
          <w:sz w:val="22"/>
          <w:szCs w:val="22"/>
        </w:rPr>
      </w:pPr>
      <w:r>
        <w:rPr>
          <w:rFonts w:ascii="Arial" w:hAnsi="Arial" w:cs="Arial"/>
          <w:bCs/>
          <w:spacing w:val="-3"/>
          <w:sz w:val="22"/>
          <w:szCs w:val="22"/>
        </w:rPr>
        <w:t xml:space="preserve">The Bill </w:t>
      </w:r>
      <w:r w:rsidRPr="006E2B23">
        <w:rPr>
          <w:rFonts w:ascii="Arial" w:hAnsi="Arial" w:cs="Arial"/>
          <w:bCs/>
          <w:spacing w:val="-3"/>
          <w:sz w:val="22"/>
          <w:szCs w:val="22"/>
        </w:rPr>
        <w:t>repeal</w:t>
      </w:r>
      <w:r>
        <w:rPr>
          <w:rFonts w:ascii="Arial" w:hAnsi="Arial" w:cs="Arial"/>
          <w:bCs/>
          <w:spacing w:val="-3"/>
          <w:sz w:val="22"/>
          <w:szCs w:val="22"/>
        </w:rPr>
        <w:t>s</w:t>
      </w:r>
      <w:r w:rsidRPr="006E2B23">
        <w:rPr>
          <w:rFonts w:ascii="Arial" w:hAnsi="Arial" w:cs="Arial"/>
          <w:bCs/>
          <w:spacing w:val="-3"/>
          <w:sz w:val="22"/>
          <w:szCs w:val="22"/>
        </w:rPr>
        <w:t xml:space="preserve"> the </w:t>
      </w:r>
      <w:r w:rsidRPr="006E2B23">
        <w:rPr>
          <w:rFonts w:ascii="Arial" w:hAnsi="Arial" w:cs="Arial"/>
          <w:bCs/>
          <w:i/>
          <w:iCs/>
          <w:spacing w:val="-3"/>
          <w:sz w:val="22"/>
          <w:szCs w:val="22"/>
        </w:rPr>
        <w:t>Criminal Law (Sexual Offences) Act 1978</w:t>
      </w:r>
      <w:r>
        <w:rPr>
          <w:rFonts w:ascii="Arial" w:hAnsi="Arial" w:cs="Arial"/>
          <w:bCs/>
          <w:spacing w:val="-3"/>
          <w:sz w:val="22"/>
          <w:szCs w:val="22"/>
        </w:rPr>
        <w:t xml:space="preserve"> and makes amendments to the </w:t>
      </w:r>
      <w:r w:rsidRPr="006E2B23">
        <w:rPr>
          <w:rFonts w:ascii="Arial" w:hAnsi="Arial" w:cs="Arial"/>
          <w:bCs/>
          <w:i/>
          <w:iCs/>
          <w:spacing w:val="-3"/>
          <w:sz w:val="22"/>
          <w:szCs w:val="22"/>
        </w:rPr>
        <w:t xml:space="preserve">Bail Act </w:t>
      </w:r>
      <w:r w:rsidRPr="004C5744">
        <w:rPr>
          <w:rFonts w:ascii="Arial" w:hAnsi="Arial" w:cs="Arial"/>
          <w:bCs/>
          <w:i/>
          <w:iCs/>
          <w:spacing w:val="-3"/>
          <w:sz w:val="22"/>
          <w:szCs w:val="22"/>
        </w:rPr>
        <w:t>1980</w:t>
      </w:r>
      <w:r w:rsidRPr="006E2B23">
        <w:rPr>
          <w:rFonts w:ascii="Arial" w:hAnsi="Arial" w:cs="Arial"/>
          <w:bCs/>
          <w:spacing w:val="-3"/>
          <w:sz w:val="22"/>
          <w:szCs w:val="22"/>
        </w:rPr>
        <w:t xml:space="preserve">, the Criminal Code, the </w:t>
      </w:r>
      <w:r w:rsidRPr="006E2B23">
        <w:rPr>
          <w:rFonts w:ascii="Arial" w:hAnsi="Arial" w:cs="Arial"/>
          <w:bCs/>
          <w:i/>
          <w:iCs/>
          <w:spacing w:val="-3"/>
          <w:sz w:val="22"/>
          <w:szCs w:val="22"/>
        </w:rPr>
        <w:t>Domestic and Family Violence Protection Act 2012</w:t>
      </w:r>
      <w:r w:rsidRPr="006E2B23">
        <w:rPr>
          <w:rFonts w:ascii="Arial" w:hAnsi="Arial" w:cs="Arial"/>
          <w:bCs/>
          <w:spacing w:val="-3"/>
          <w:sz w:val="22"/>
          <w:szCs w:val="22"/>
        </w:rPr>
        <w:t xml:space="preserve">, the </w:t>
      </w:r>
      <w:r w:rsidRPr="006E2B23">
        <w:rPr>
          <w:rFonts w:ascii="Arial" w:hAnsi="Arial" w:cs="Arial"/>
          <w:bCs/>
          <w:i/>
          <w:iCs/>
          <w:spacing w:val="-3"/>
          <w:sz w:val="22"/>
          <w:szCs w:val="22"/>
        </w:rPr>
        <w:t>Evidence Act 1977</w:t>
      </w:r>
      <w:r w:rsidRPr="006E2B23">
        <w:rPr>
          <w:rFonts w:ascii="Arial" w:hAnsi="Arial" w:cs="Arial"/>
          <w:bCs/>
          <w:spacing w:val="-3"/>
          <w:sz w:val="22"/>
          <w:szCs w:val="22"/>
        </w:rPr>
        <w:t>,</w:t>
      </w:r>
      <w:r w:rsidR="002441F9">
        <w:rPr>
          <w:rFonts w:ascii="Arial" w:hAnsi="Arial" w:cs="Arial"/>
          <w:bCs/>
          <w:spacing w:val="-3"/>
          <w:sz w:val="22"/>
          <w:szCs w:val="22"/>
        </w:rPr>
        <w:t xml:space="preserve"> </w:t>
      </w:r>
      <w:r w:rsidRPr="006E2B23">
        <w:rPr>
          <w:rFonts w:ascii="Arial" w:hAnsi="Arial" w:cs="Arial"/>
          <w:bCs/>
          <w:spacing w:val="-3"/>
          <w:sz w:val="22"/>
          <w:szCs w:val="22"/>
        </w:rPr>
        <w:t xml:space="preserve">the </w:t>
      </w:r>
      <w:r w:rsidRPr="006E2B23">
        <w:rPr>
          <w:rFonts w:ascii="Arial" w:hAnsi="Arial" w:cs="Arial"/>
          <w:bCs/>
          <w:i/>
          <w:iCs/>
          <w:spacing w:val="-3"/>
          <w:sz w:val="22"/>
          <w:szCs w:val="22"/>
        </w:rPr>
        <w:t>Penalties and Sentences Act 1992</w:t>
      </w:r>
      <w:r w:rsidRPr="006E2B23">
        <w:rPr>
          <w:rFonts w:ascii="Arial" w:hAnsi="Arial" w:cs="Arial"/>
          <w:bCs/>
          <w:spacing w:val="-3"/>
          <w:sz w:val="22"/>
          <w:szCs w:val="22"/>
        </w:rPr>
        <w:t xml:space="preserve">, the </w:t>
      </w:r>
      <w:r w:rsidRPr="006E2B23">
        <w:rPr>
          <w:rFonts w:ascii="Arial" w:hAnsi="Arial" w:cs="Arial"/>
          <w:bCs/>
          <w:i/>
          <w:iCs/>
          <w:spacing w:val="-3"/>
          <w:sz w:val="22"/>
          <w:szCs w:val="22"/>
        </w:rPr>
        <w:t>Security Providers Act 1993</w:t>
      </w:r>
      <w:r w:rsidR="00FB0CDA">
        <w:rPr>
          <w:rFonts w:ascii="Arial" w:hAnsi="Arial" w:cs="Arial"/>
          <w:bCs/>
          <w:spacing w:val="-3"/>
          <w:sz w:val="22"/>
          <w:szCs w:val="22"/>
        </w:rPr>
        <w:t>,</w:t>
      </w:r>
      <w:r w:rsidRPr="006E2B23">
        <w:rPr>
          <w:rFonts w:ascii="Arial" w:hAnsi="Arial" w:cs="Arial"/>
          <w:bCs/>
          <w:spacing w:val="-3"/>
          <w:sz w:val="22"/>
          <w:szCs w:val="22"/>
        </w:rPr>
        <w:t xml:space="preserve"> the </w:t>
      </w:r>
      <w:r w:rsidRPr="006E2B23">
        <w:rPr>
          <w:rFonts w:ascii="Arial" w:hAnsi="Arial" w:cs="Arial"/>
          <w:bCs/>
          <w:i/>
          <w:iCs/>
          <w:spacing w:val="-3"/>
          <w:sz w:val="22"/>
          <w:szCs w:val="22"/>
        </w:rPr>
        <w:t>Youth Justice Act 1992</w:t>
      </w:r>
      <w:r w:rsidR="00FB0CDA">
        <w:rPr>
          <w:rFonts w:ascii="Arial" w:hAnsi="Arial" w:cs="Arial"/>
          <w:bCs/>
          <w:spacing w:val="-3"/>
          <w:sz w:val="22"/>
          <w:szCs w:val="22"/>
        </w:rPr>
        <w:t xml:space="preserve"> and other related legislation</w:t>
      </w:r>
      <w:r w:rsidRPr="006E2B23">
        <w:rPr>
          <w:rFonts w:ascii="Arial" w:hAnsi="Arial" w:cs="Arial"/>
          <w:bCs/>
          <w:spacing w:val="-3"/>
          <w:sz w:val="22"/>
          <w:szCs w:val="22"/>
        </w:rPr>
        <w:t xml:space="preserve">, </w:t>
      </w:r>
      <w:r>
        <w:rPr>
          <w:rFonts w:ascii="Arial" w:hAnsi="Arial" w:cs="Arial"/>
          <w:bCs/>
          <w:spacing w:val="-3"/>
          <w:sz w:val="22"/>
          <w:szCs w:val="22"/>
        </w:rPr>
        <w:t xml:space="preserve">including amendments to: </w:t>
      </w:r>
      <w:r>
        <w:rPr>
          <w:rFonts w:ascii="Arial" w:hAnsi="Arial" w:cs="Arial"/>
          <w:bCs/>
          <w:i/>
          <w:iCs/>
          <w:spacing w:val="-3"/>
          <w:sz w:val="22"/>
          <w:szCs w:val="22"/>
        </w:rPr>
        <w:t xml:space="preserve"> </w:t>
      </w:r>
    </w:p>
    <w:p w14:paraId="666DDFD5" w14:textId="5EC28D0D" w:rsidR="00E20270" w:rsidRDefault="000E0776" w:rsidP="003C4569">
      <w:pPr>
        <w:pStyle w:val="ListParagraph"/>
        <w:keepLines/>
        <w:numPr>
          <w:ilvl w:val="0"/>
          <w:numId w:val="6"/>
        </w:numPr>
        <w:spacing w:before="120"/>
        <w:ind w:left="714" w:hanging="357"/>
        <w:contextualSpacing w:val="0"/>
        <w:jc w:val="both"/>
        <w:rPr>
          <w:rFonts w:ascii="Arial" w:hAnsi="Arial" w:cs="Arial"/>
          <w:sz w:val="22"/>
          <w:szCs w:val="22"/>
        </w:rPr>
      </w:pPr>
      <w:bookmarkStart w:id="0" w:name="_Hlk131528275"/>
      <w:r>
        <w:rPr>
          <w:rFonts w:ascii="Arial" w:hAnsi="Arial" w:cs="Arial"/>
          <w:sz w:val="22"/>
          <w:szCs w:val="22"/>
        </w:rPr>
        <w:t>introduce a new criminal offence of coercive control</w:t>
      </w:r>
      <w:r w:rsidR="00E20270">
        <w:rPr>
          <w:rFonts w:ascii="Arial" w:hAnsi="Arial" w:cs="Arial"/>
          <w:sz w:val="22"/>
          <w:szCs w:val="22"/>
        </w:rPr>
        <w:t>;</w:t>
      </w:r>
    </w:p>
    <w:p w14:paraId="59F34A96" w14:textId="2CC1DCF0" w:rsidR="002441F9" w:rsidRDefault="000E0776"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move Queensland to an affirmative model of consent</w:t>
      </w:r>
      <w:r w:rsidR="00E20270">
        <w:rPr>
          <w:rFonts w:ascii="Arial" w:hAnsi="Arial" w:cs="Arial"/>
          <w:sz w:val="22"/>
          <w:szCs w:val="22"/>
        </w:rPr>
        <w:t xml:space="preserve"> and expressly reference stealthing conduct as vitiating consent; </w:t>
      </w:r>
    </w:p>
    <w:p w14:paraId="4DEF36E1" w14:textId="5CEAA4AB" w:rsidR="004C2313" w:rsidRPr="002433E3" w:rsidRDefault="004C2313" w:rsidP="003C4569">
      <w:pPr>
        <w:pStyle w:val="ListParagraph"/>
        <w:keepLines/>
        <w:numPr>
          <w:ilvl w:val="0"/>
          <w:numId w:val="6"/>
        </w:numPr>
        <w:spacing w:before="120"/>
        <w:ind w:left="714" w:hanging="357"/>
        <w:contextualSpacing w:val="0"/>
        <w:jc w:val="both"/>
        <w:rPr>
          <w:rFonts w:ascii="Arial" w:hAnsi="Arial" w:cs="Arial"/>
          <w:sz w:val="22"/>
          <w:szCs w:val="22"/>
        </w:rPr>
      </w:pPr>
      <w:r w:rsidRPr="002433E3">
        <w:rPr>
          <w:rFonts w:ascii="Arial" w:hAnsi="Arial" w:cs="Arial"/>
          <w:sz w:val="22"/>
          <w:szCs w:val="22"/>
        </w:rPr>
        <w:t>progress a range of reforms for sexual</w:t>
      </w:r>
      <w:r w:rsidR="00A95057">
        <w:rPr>
          <w:rFonts w:ascii="Arial" w:hAnsi="Arial" w:cs="Arial"/>
          <w:sz w:val="22"/>
          <w:szCs w:val="22"/>
        </w:rPr>
        <w:t xml:space="preserve"> offence</w:t>
      </w:r>
      <w:r w:rsidRPr="002433E3">
        <w:rPr>
          <w:rFonts w:ascii="Arial" w:hAnsi="Arial" w:cs="Arial"/>
          <w:sz w:val="22"/>
          <w:szCs w:val="22"/>
        </w:rPr>
        <w:t xml:space="preserve"> proceedings, including imposing a duty on the court to disallow improper questions</w:t>
      </w:r>
      <w:r>
        <w:rPr>
          <w:rFonts w:ascii="Arial" w:hAnsi="Arial" w:cs="Arial"/>
          <w:sz w:val="22"/>
          <w:szCs w:val="22"/>
        </w:rPr>
        <w:t xml:space="preserve">, </w:t>
      </w:r>
      <w:r w:rsidRPr="002433E3">
        <w:rPr>
          <w:rFonts w:ascii="Arial" w:hAnsi="Arial" w:cs="Arial"/>
          <w:sz w:val="22"/>
          <w:szCs w:val="22"/>
        </w:rPr>
        <w:t>introduc</w:t>
      </w:r>
      <w:r>
        <w:rPr>
          <w:rFonts w:ascii="Arial" w:hAnsi="Arial" w:cs="Arial"/>
          <w:sz w:val="22"/>
          <w:szCs w:val="22"/>
        </w:rPr>
        <w:t>ing</w:t>
      </w:r>
      <w:r w:rsidRPr="002433E3">
        <w:rPr>
          <w:rFonts w:ascii="Arial" w:hAnsi="Arial" w:cs="Arial"/>
          <w:sz w:val="22"/>
          <w:szCs w:val="22"/>
        </w:rPr>
        <w:t xml:space="preserve"> jury directions</w:t>
      </w:r>
      <w:r>
        <w:rPr>
          <w:rFonts w:ascii="Arial" w:hAnsi="Arial" w:cs="Arial"/>
          <w:sz w:val="22"/>
          <w:szCs w:val="22"/>
        </w:rPr>
        <w:t xml:space="preserve"> and evidence reforms;</w:t>
      </w:r>
    </w:p>
    <w:p w14:paraId="410A192F" w14:textId="362C447D" w:rsidR="00E20270" w:rsidRDefault="000E0776"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establish a court-based domestic violence perpetrator diversion scheme</w:t>
      </w:r>
      <w:r w:rsidR="009823F3">
        <w:rPr>
          <w:rFonts w:ascii="Arial" w:hAnsi="Arial" w:cs="Arial"/>
          <w:sz w:val="22"/>
          <w:szCs w:val="22"/>
        </w:rPr>
        <w:t xml:space="preserve">; </w:t>
      </w:r>
    </w:p>
    <w:p w14:paraId="29D4E41B" w14:textId="03DC1185" w:rsidR="001C6CE6" w:rsidRPr="001C6CE6" w:rsidRDefault="000E0776"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 xml:space="preserve">introduce a new offence for </w:t>
      </w:r>
      <w:r w:rsidR="00215989">
        <w:rPr>
          <w:rFonts w:ascii="Arial" w:hAnsi="Arial" w:cs="Arial"/>
          <w:sz w:val="22"/>
          <w:szCs w:val="22"/>
        </w:rPr>
        <w:t>engaging in</w:t>
      </w:r>
      <w:r>
        <w:rPr>
          <w:rFonts w:ascii="Arial" w:hAnsi="Arial" w:cs="Arial"/>
          <w:sz w:val="22"/>
          <w:szCs w:val="22"/>
        </w:rPr>
        <w:t xml:space="preserve"> domestic violence</w:t>
      </w:r>
      <w:r w:rsidR="001C6CE6">
        <w:rPr>
          <w:rFonts w:ascii="Arial" w:hAnsi="Arial" w:cs="Arial"/>
          <w:sz w:val="22"/>
          <w:szCs w:val="22"/>
        </w:rPr>
        <w:t xml:space="preserve"> </w:t>
      </w:r>
      <w:r w:rsidR="00215989">
        <w:rPr>
          <w:rFonts w:ascii="Arial" w:hAnsi="Arial" w:cs="Arial"/>
          <w:sz w:val="22"/>
          <w:szCs w:val="22"/>
        </w:rPr>
        <w:t>on behalf of a respondent, which will be</w:t>
      </w:r>
      <w:r w:rsidR="001C6CE6">
        <w:rPr>
          <w:rFonts w:ascii="Arial" w:hAnsi="Arial" w:cs="Arial"/>
          <w:sz w:val="22"/>
          <w:szCs w:val="22"/>
        </w:rPr>
        <w:t xml:space="preserve"> a disqualifying offence for security providers; </w:t>
      </w:r>
    </w:p>
    <w:p w14:paraId="7D5645E7" w14:textId="77777777" w:rsidR="009E58A9" w:rsidRDefault="009E58A9"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amend the reasonable excuses for the failure to report offence;</w:t>
      </w:r>
    </w:p>
    <w:p w14:paraId="0BD82062" w14:textId="77777777" w:rsidR="00E20270" w:rsidRDefault="00642745"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establish a pilot expert evidence panel for sexual assault proceedings</w:t>
      </w:r>
      <w:r w:rsidR="00E20270">
        <w:rPr>
          <w:rFonts w:ascii="Arial" w:hAnsi="Arial" w:cs="Arial"/>
          <w:sz w:val="22"/>
          <w:szCs w:val="22"/>
        </w:rPr>
        <w:t>;</w:t>
      </w:r>
    </w:p>
    <w:p w14:paraId="2B447313" w14:textId="422AB099" w:rsidR="002441F9" w:rsidRDefault="00642745"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 xml:space="preserve">clarify the law regarding publishing sexual </w:t>
      </w:r>
      <w:r w:rsidR="00A95057">
        <w:rPr>
          <w:rFonts w:ascii="Arial" w:hAnsi="Arial" w:cs="Arial"/>
          <w:sz w:val="22"/>
          <w:szCs w:val="22"/>
        </w:rPr>
        <w:t xml:space="preserve">offence </w:t>
      </w:r>
      <w:r>
        <w:rPr>
          <w:rFonts w:ascii="Arial" w:hAnsi="Arial" w:cs="Arial"/>
          <w:sz w:val="22"/>
          <w:szCs w:val="22"/>
        </w:rPr>
        <w:t xml:space="preserve">proceedings </w:t>
      </w:r>
      <w:r w:rsidR="00215989" w:rsidRPr="00215989">
        <w:rPr>
          <w:rFonts w:ascii="Arial" w:hAnsi="Arial" w:cs="Arial"/>
          <w:sz w:val="22"/>
          <w:szCs w:val="22"/>
        </w:rPr>
        <w:t xml:space="preserve">to give complainants a right to self-publish, and to allow complainants to have their stories told by others </w:t>
      </w:r>
      <w:r w:rsidR="00215989">
        <w:rPr>
          <w:rFonts w:ascii="Arial" w:hAnsi="Arial" w:cs="Arial"/>
          <w:sz w:val="22"/>
          <w:szCs w:val="22"/>
        </w:rPr>
        <w:t>with</w:t>
      </w:r>
      <w:r w:rsidR="00215989" w:rsidRPr="00215989">
        <w:rPr>
          <w:rFonts w:ascii="Arial" w:hAnsi="Arial" w:cs="Arial"/>
          <w:sz w:val="22"/>
          <w:szCs w:val="22"/>
        </w:rPr>
        <w:t xml:space="preserve"> informed, written consent (with a special safeguard to protect children)</w:t>
      </w:r>
      <w:r w:rsidR="009823F3">
        <w:rPr>
          <w:rFonts w:ascii="Arial" w:hAnsi="Arial" w:cs="Arial"/>
          <w:sz w:val="22"/>
          <w:szCs w:val="22"/>
        </w:rPr>
        <w:t xml:space="preserve">; </w:t>
      </w:r>
      <w:r w:rsidR="002433E3">
        <w:rPr>
          <w:rFonts w:ascii="Arial" w:hAnsi="Arial" w:cs="Arial"/>
          <w:sz w:val="22"/>
          <w:szCs w:val="22"/>
        </w:rPr>
        <w:t>and</w:t>
      </w:r>
    </w:p>
    <w:p w14:paraId="5F6ABE93" w14:textId="3EFCCDEC" w:rsidR="00AB22B2" w:rsidRPr="002760E0" w:rsidRDefault="00642745" w:rsidP="003C4569">
      <w:pPr>
        <w:pStyle w:val="ListParagraph"/>
        <w:keepLines/>
        <w:numPr>
          <w:ilvl w:val="0"/>
          <w:numId w:val="6"/>
        </w:numPr>
        <w:spacing w:before="120"/>
        <w:ind w:left="714" w:hanging="357"/>
        <w:contextualSpacing w:val="0"/>
        <w:jc w:val="both"/>
        <w:rPr>
          <w:rFonts w:ascii="Arial" w:hAnsi="Arial" w:cs="Arial"/>
          <w:sz w:val="22"/>
          <w:szCs w:val="22"/>
        </w:rPr>
      </w:pPr>
      <w:r>
        <w:rPr>
          <w:rFonts w:ascii="Arial" w:hAnsi="Arial" w:cs="Arial"/>
          <w:sz w:val="22"/>
          <w:szCs w:val="22"/>
        </w:rPr>
        <w:t>require consideration of additional factors when making bail and sentencing decisions</w:t>
      </w:r>
      <w:r w:rsidR="002760E0">
        <w:rPr>
          <w:rFonts w:ascii="Arial" w:hAnsi="Arial" w:cs="Arial"/>
          <w:sz w:val="22"/>
          <w:szCs w:val="22"/>
        </w:rPr>
        <w:t>, such as</w:t>
      </w:r>
      <w:r w:rsidR="004303F9">
        <w:rPr>
          <w:rFonts w:ascii="Arial" w:hAnsi="Arial" w:cs="Arial"/>
          <w:sz w:val="22"/>
          <w:szCs w:val="22"/>
        </w:rPr>
        <w:t xml:space="preserve"> </w:t>
      </w:r>
      <w:r w:rsidR="009E58A9">
        <w:rPr>
          <w:rFonts w:ascii="Arial" w:hAnsi="Arial" w:cs="Arial"/>
          <w:sz w:val="22"/>
          <w:szCs w:val="22"/>
        </w:rPr>
        <w:t xml:space="preserve">primary caregiver </w:t>
      </w:r>
      <w:r w:rsidR="002760E0">
        <w:rPr>
          <w:rFonts w:ascii="Arial" w:hAnsi="Arial" w:cs="Arial"/>
          <w:sz w:val="22"/>
          <w:szCs w:val="22"/>
        </w:rPr>
        <w:t>responsibilities and cultural considerations.</w:t>
      </w:r>
      <w:r>
        <w:rPr>
          <w:rFonts w:ascii="Arial" w:hAnsi="Arial" w:cs="Arial"/>
          <w:sz w:val="22"/>
          <w:szCs w:val="22"/>
        </w:rPr>
        <w:t xml:space="preserve"> </w:t>
      </w:r>
      <w:bookmarkEnd w:id="0"/>
    </w:p>
    <w:p w14:paraId="6AA18BAC" w14:textId="22C02B99" w:rsidR="004975A7" w:rsidRPr="004975A7" w:rsidRDefault="001357B0" w:rsidP="004975A7">
      <w:pPr>
        <w:numPr>
          <w:ilvl w:val="0"/>
          <w:numId w:val="1"/>
        </w:numPr>
        <w:spacing w:before="240" w:line="228" w:lineRule="auto"/>
        <w:jc w:val="both"/>
        <w:rPr>
          <w:rFonts w:ascii="Arial" w:hAnsi="Arial" w:cs="Arial"/>
          <w:sz w:val="22"/>
          <w:szCs w:val="22"/>
        </w:rPr>
      </w:pPr>
      <w:r>
        <w:rPr>
          <w:rFonts w:ascii="Arial" w:hAnsi="Arial" w:cs="Arial"/>
          <w:sz w:val="22"/>
          <w:szCs w:val="22"/>
          <w:u w:val="single"/>
        </w:rPr>
        <w:t>Cabinet</w:t>
      </w:r>
      <w:r w:rsidRPr="00C542E3">
        <w:rPr>
          <w:rFonts w:ascii="Arial" w:hAnsi="Arial" w:cs="Arial"/>
          <w:sz w:val="22"/>
          <w:szCs w:val="22"/>
          <w:u w:val="single"/>
        </w:rPr>
        <w:t xml:space="preserve"> </w:t>
      </w:r>
      <w:r w:rsidR="00DB697C" w:rsidRPr="00C542E3">
        <w:rPr>
          <w:rFonts w:ascii="Arial" w:hAnsi="Arial" w:cs="Arial"/>
          <w:sz w:val="22"/>
          <w:szCs w:val="22"/>
          <w:u w:val="single"/>
        </w:rPr>
        <w:t>approved</w:t>
      </w:r>
      <w:r w:rsidR="00DB697C" w:rsidRPr="006F72E7">
        <w:rPr>
          <w:rFonts w:ascii="Arial" w:hAnsi="Arial" w:cs="Arial"/>
          <w:sz w:val="22"/>
          <w:szCs w:val="22"/>
        </w:rPr>
        <w:t xml:space="preserve"> </w:t>
      </w:r>
      <w:r w:rsidR="00DB697C" w:rsidRPr="00C542E3">
        <w:rPr>
          <w:rFonts w:ascii="Arial" w:hAnsi="Arial" w:cs="Arial"/>
          <w:sz w:val="22"/>
          <w:szCs w:val="22"/>
        </w:rPr>
        <w:t xml:space="preserve">the introduction of the </w:t>
      </w:r>
      <w:r w:rsidR="008335D7">
        <w:rPr>
          <w:rFonts w:ascii="Arial" w:hAnsi="Arial" w:cs="Arial"/>
          <w:sz w:val="22"/>
          <w:szCs w:val="22"/>
        </w:rPr>
        <w:t xml:space="preserve">Criminal Law (Coercive Control and Affirmative Consent) and Other Legislation Amendment Bill 2023 </w:t>
      </w:r>
      <w:r w:rsidR="00DB697C" w:rsidRPr="00C542E3">
        <w:rPr>
          <w:rFonts w:ascii="Arial" w:hAnsi="Arial" w:cs="Arial"/>
          <w:sz w:val="22"/>
          <w:szCs w:val="22"/>
        </w:rPr>
        <w:t>into the Legislative Assembly.</w:t>
      </w:r>
    </w:p>
    <w:p w14:paraId="074A0B6D" w14:textId="6A3579C2" w:rsidR="00DB697C" w:rsidRPr="00C542E3" w:rsidRDefault="00DB697C" w:rsidP="003C4569">
      <w:pPr>
        <w:keepNext/>
        <w:numPr>
          <w:ilvl w:val="0"/>
          <w:numId w:val="1"/>
        </w:numPr>
        <w:spacing w:before="360"/>
        <w:ind w:left="357" w:hanging="357"/>
        <w:jc w:val="both"/>
        <w:rPr>
          <w:rFonts w:ascii="Arial" w:hAnsi="Arial" w:cs="Arial"/>
          <w:sz w:val="22"/>
          <w:szCs w:val="22"/>
        </w:rPr>
      </w:pPr>
      <w:r w:rsidRPr="00C542E3">
        <w:rPr>
          <w:rFonts w:ascii="Arial" w:hAnsi="Arial" w:cs="Arial"/>
          <w:i/>
          <w:sz w:val="22"/>
          <w:szCs w:val="22"/>
          <w:u w:val="single"/>
        </w:rPr>
        <w:t>Attachment</w:t>
      </w:r>
      <w:r>
        <w:rPr>
          <w:rFonts w:ascii="Arial" w:hAnsi="Arial" w:cs="Arial"/>
          <w:i/>
          <w:sz w:val="22"/>
          <w:szCs w:val="22"/>
          <w:u w:val="single"/>
        </w:rPr>
        <w:t>s</w:t>
      </w:r>
      <w:r w:rsidR="00EB2A66">
        <w:rPr>
          <w:rFonts w:ascii="Arial" w:hAnsi="Arial" w:cs="Arial"/>
          <w:iCs/>
          <w:sz w:val="22"/>
          <w:szCs w:val="22"/>
        </w:rPr>
        <w:t>:</w:t>
      </w:r>
    </w:p>
    <w:bookmarkStart w:id="1" w:name="_Hlk137543529"/>
    <w:p w14:paraId="3EA50C58" w14:textId="66A09CB5" w:rsidR="00DB697C" w:rsidRDefault="004C10EE" w:rsidP="00DB697C">
      <w:pPr>
        <w:numPr>
          <w:ilvl w:val="0"/>
          <w:numId w:val="3"/>
        </w:numPr>
        <w:spacing w:before="120" w:line="228" w:lineRule="auto"/>
        <w:jc w:val="both"/>
        <w:rPr>
          <w:rFonts w:ascii="Arial" w:hAnsi="Arial" w:cs="Arial"/>
          <w:sz w:val="22"/>
          <w:szCs w:val="22"/>
        </w:rPr>
      </w:pPr>
      <w:r>
        <w:rPr>
          <w:rFonts w:ascii="Arial" w:hAnsi="Arial" w:cs="Arial"/>
          <w:sz w:val="22"/>
          <w:szCs w:val="22"/>
        </w:rPr>
        <w:fldChar w:fldCharType="begin"/>
      </w:r>
      <w:r w:rsidR="006D4815">
        <w:rPr>
          <w:rFonts w:ascii="Arial" w:hAnsi="Arial" w:cs="Arial"/>
          <w:sz w:val="22"/>
          <w:szCs w:val="22"/>
        </w:rPr>
        <w:instrText>HYPERLINK "https://dpcqld.sharepoint.com/sites/DPC-CABINETSERVICES/Shared Documents/General/Proactive Release/ToBeProcessed/2023/Oct/CoerciveControlBill/Attachments/Bill.PDF"</w:instrText>
      </w:r>
      <w:r w:rsidR="006D4815">
        <w:rPr>
          <w:rFonts w:ascii="Arial" w:hAnsi="Arial" w:cs="Arial"/>
          <w:sz w:val="22"/>
          <w:szCs w:val="22"/>
        </w:rPr>
      </w:r>
      <w:r>
        <w:rPr>
          <w:rFonts w:ascii="Arial" w:hAnsi="Arial" w:cs="Arial"/>
          <w:sz w:val="22"/>
          <w:szCs w:val="22"/>
        </w:rPr>
        <w:fldChar w:fldCharType="separate"/>
      </w:r>
      <w:r w:rsidR="008335D7" w:rsidRPr="004C10EE">
        <w:rPr>
          <w:rStyle w:val="Hyperlink"/>
          <w:rFonts w:ascii="Arial" w:hAnsi="Arial" w:cs="Arial"/>
          <w:sz w:val="22"/>
          <w:szCs w:val="22"/>
        </w:rPr>
        <w:t>Criminal Law (Coercive Control and Affirmative Consent) and Other Legislation Amendment</w:t>
      </w:r>
      <w:r w:rsidR="00DB697C" w:rsidRPr="004C10EE">
        <w:rPr>
          <w:rStyle w:val="Hyperlink"/>
          <w:rFonts w:ascii="Arial" w:hAnsi="Arial" w:cs="Arial"/>
          <w:sz w:val="22"/>
          <w:szCs w:val="22"/>
        </w:rPr>
        <w:t xml:space="preserve"> Bill 2023</w:t>
      </w:r>
      <w:r>
        <w:rPr>
          <w:rFonts w:ascii="Arial" w:hAnsi="Arial" w:cs="Arial"/>
          <w:sz w:val="22"/>
          <w:szCs w:val="22"/>
        </w:rPr>
        <w:fldChar w:fldCharType="end"/>
      </w:r>
    </w:p>
    <w:bookmarkEnd w:id="1"/>
    <w:p w14:paraId="5CD76B34" w14:textId="56B03A5E" w:rsidR="00DB697C" w:rsidRDefault="004C10EE" w:rsidP="00DB697C">
      <w:pPr>
        <w:numPr>
          <w:ilvl w:val="0"/>
          <w:numId w:val="3"/>
        </w:numPr>
        <w:spacing w:before="120" w:line="228" w:lineRule="auto"/>
        <w:jc w:val="both"/>
        <w:rPr>
          <w:rFonts w:ascii="Arial" w:hAnsi="Arial" w:cs="Arial"/>
          <w:sz w:val="22"/>
          <w:szCs w:val="22"/>
        </w:rPr>
      </w:pPr>
      <w:r>
        <w:rPr>
          <w:rFonts w:ascii="Arial" w:hAnsi="Arial" w:cs="Arial"/>
          <w:sz w:val="22"/>
          <w:szCs w:val="22"/>
        </w:rPr>
        <w:fldChar w:fldCharType="begin"/>
      </w:r>
      <w:r w:rsidR="006D4815">
        <w:rPr>
          <w:rFonts w:ascii="Arial" w:hAnsi="Arial" w:cs="Arial"/>
          <w:sz w:val="22"/>
          <w:szCs w:val="22"/>
        </w:rPr>
        <w:instrText>HYPERLINK "https://dpcqld.sharepoint.com/sites/DPC-CABINETSERVICES/Shared Documents/General/Proactive Release/ToBeProcessed/2023/Oct/CoerciveControlBill/Attachments/ExNotes.PDF"</w:instrText>
      </w:r>
      <w:r w:rsidR="006D4815">
        <w:rPr>
          <w:rFonts w:ascii="Arial" w:hAnsi="Arial" w:cs="Arial"/>
          <w:sz w:val="22"/>
          <w:szCs w:val="22"/>
        </w:rPr>
      </w:r>
      <w:r>
        <w:rPr>
          <w:rFonts w:ascii="Arial" w:hAnsi="Arial" w:cs="Arial"/>
          <w:sz w:val="22"/>
          <w:szCs w:val="22"/>
        </w:rPr>
        <w:fldChar w:fldCharType="separate"/>
      </w:r>
      <w:r w:rsidR="00DB697C" w:rsidRPr="004C10EE">
        <w:rPr>
          <w:rStyle w:val="Hyperlink"/>
          <w:rFonts w:ascii="Arial" w:hAnsi="Arial" w:cs="Arial"/>
          <w:sz w:val="22"/>
          <w:szCs w:val="22"/>
        </w:rPr>
        <w:t>Explanatory Notes</w:t>
      </w:r>
      <w:r>
        <w:rPr>
          <w:rFonts w:ascii="Arial" w:hAnsi="Arial" w:cs="Arial"/>
          <w:sz w:val="22"/>
          <w:szCs w:val="22"/>
        </w:rPr>
        <w:fldChar w:fldCharType="end"/>
      </w:r>
    </w:p>
    <w:p w14:paraId="5F732B6D" w14:textId="4236CBCE" w:rsidR="007072CB" w:rsidRDefault="006D4815" w:rsidP="002433E3">
      <w:pPr>
        <w:numPr>
          <w:ilvl w:val="0"/>
          <w:numId w:val="3"/>
        </w:numPr>
        <w:spacing w:before="120" w:line="228" w:lineRule="auto"/>
        <w:jc w:val="both"/>
      </w:pPr>
      <w:hyperlink r:id="rId9" w:history="1">
        <w:r w:rsidR="00F05048" w:rsidRPr="004C10EE">
          <w:rPr>
            <w:rStyle w:val="Hyperlink"/>
            <w:rFonts w:ascii="Arial" w:hAnsi="Arial" w:cs="Arial"/>
            <w:sz w:val="22"/>
            <w:szCs w:val="22"/>
          </w:rPr>
          <w:t>Statement of Compatibility with Human Rights</w:t>
        </w:r>
      </w:hyperlink>
    </w:p>
    <w:sectPr w:rsidR="007072CB" w:rsidSect="00EB2A66">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A5DAD" w14:textId="77777777" w:rsidR="00A82E3B" w:rsidRDefault="00A82E3B" w:rsidP="00A82E3B">
      <w:r>
        <w:separator/>
      </w:r>
    </w:p>
  </w:endnote>
  <w:endnote w:type="continuationSeparator" w:id="0">
    <w:p w14:paraId="5175C209" w14:textId="77777777" w:rsidR="00A82E3B" w:rsidRDefault="00A82E3B" w:rsidP="00A8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C3B8" w14:textId="77777777" w:rsidR="00A82E3B" w:rsidRDefault="00A82E3B" w:rsidP="00A82E3B">
      <w:r>
        <w:separator/>
      </w:r>
    </w:p>
  </w:footnote>
  <w:footnote w:type="continuationSeparator" w:id="0">
    <w:p w14:paraId="402A0EA5" w14:textId="77777777" w:rsidR="00A82E3B" w:rsidRDefault="00A82E3B" w:rsidP="00A8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49F5" w14:textId="77777777" w:rsidR="00EB2A66" w:rsidRPr="00937A4A" w:rsidRDefault="00EB2A66" w:rsidP="00EB2A6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1E240EE" w14:textId="77777777" w:rsidR="00EB2A66" w:rsidRPr="00937A4A" w:rsidRDefault="00EB2A66" w:rsidP="00EB2A6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FE1A6ED" w14:textId="5CD56980" w:rsidR="00EB2A66" w:rsidRPr="00937A4A" w:rsidRDefault="00EB2A66" w:rsidP="00EB2A6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2023</w:t>
    </w:r>
  </w:p>
  <w:p w14:paraId="1ECDC258" w14:textId="00E9F76C" w:rsidR="00EB2A66" w:rsidRDefault="00EB2A66" w:rsidP="00EB2A66">
    <w:pPr>
      <w:pStyle w:val="Header"/>
      <w:spacing w:before="120"/>
      <w:rPr>
        <w:rFonts w:ascii="Arial" w:hAnsi="Arial" w:cs="Arial"/>
        <w:b/>
        <w:sz w:val="22"/>
        <w:szCs w:val="22"/>
        <w:u w:val="single"/>
      </w:rPr>
    </w:pPr>
    <w:r>
      <w:rPr>
        <w:rFonts w:ascii="Arial" w:hAnsi="Arial" w:cs="Arial"/>
        <w:b/>
        <w:sz w:val="22"/>
        <w:szCs w:val="22"/>
        <w:u w:val="single"/>
      </w:rPr>
      <w:t>Criminal Law (Coercive Control and Affirmative Consent) and Other Legislation Amendment Bill 2023</w:t>
    </w:r>
  </w:p>
  <w:p w14:paraId="56A56131" w14:textId="039CDB51" w:rsidR="00EB2A66" w:rsidRDefault="00EB2A66" w:rsidP="00EB2A66">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218E699F" w14:textId="77777777" w:rsidR="00EB2A66" w:rsidRDefault="00EB2A66" w:rsidP="00EB2A6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26DE0"/>
    <w:multiLevelType w:val="hybridMultilevel"/>
    <w:tmpl w:val="D7347D6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57657560"/>
    <w:multiLevelType w:val="hybridMultilevel"/>
    <w:tmpl w:val="6798CD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F25BF0"/>
    <w:multiLevelType w:val="hybridMultilevel"/>
    <w:tmpl w:val="69F43F36"/>
    <w:lvl w:ilvl="0" w:tplc="0C090001">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6FB4FCE"/>
    <w:multiLevelType w:val="hybridMultilevel"/>
    <w:tmpl w:val="22346B8E"/>
    <w:lvl w:ilvl="0" w:tplc="0C09000B">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3"/>
        </w:tabs>
        <w:ind w:left="1443" w:hanging="363"/>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79661B35"/>
    <w:multiLevelType w:val="hybridMultilevel"/>
    <w:tmpl w:val="0EA66476"/>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176F87"/>
    <w:multiLevelType w:val="hybridMultilevel"/>
    <w:tmpl w:val="D8CA7D64"/>
    <w:lvl w:ilvl="0" w:tplc="0C09000F">
      <w:start w:val="1"/>
      <w:numFmt w:val="decimal"/>
      <w:lvlText w:val="%1."/>
      <w:lvlJc w:val="left"/>
      <w:pPr>
        <w:tabs>
          <w:tab w:val="num" w:pos="360"/>
        </w:tabs>
        <w:ind w:left="360" w:hanging="360"/>
      </w:pPr>
      <w:rPr>
        <w:rFonts w:hint="default"/>
      </w:rPr>
    </w:lvl>
    <w:lvl w:ilvl="1" w:tplc="8F02EAEE">
      <w:start w:val="1"/>
      <w:numFmt w:val="decimal"/>
      <w:lvlText w:val="%2."/>
      <w:lvlJc w:val="left"/>
      <w:pPr>
        <w:tabs>
          <w:tab w:val="num" w:pos="1083"/>
        </w:tabs>
        <w:ind w:left="1083" w:hanging="363"/>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16cid:durableId="427045374">
    <w:abstractNumId w:val="5"/>
  </w:num>
  <w:num w:numId="2" w16cid:durableId="1357930658">
    <w:abstractNumId w:val="1"/>
  </w:num>
  <w:num w:numId="3" w16cid:durableId="1098867718">
    <w:abstractNumId w:val="2"/>
  </w:num>
  <w:num w:numId="4" w16cid:durableId="2098475747">
    <w:abstractNumId w:val="4"/>
  </w:num>
  <w:num w:numId="5" w16cid:durableId="412364213">
    <w:abstractNumId w:val="0"/>
  </w:num>
  <w:num w:numId="6" w16cid:durableId="1253125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7C"/>
    <w:rsid w:val="000B67AA"/>
    <w:rsid w:val="000E0776"/>
    <w:rsid w:val="00103A15"/>
    <w:rsid w:val="001357B0"/>
    <w:rsid w:val="00173BA8"/>
    <w:rsid w:val="001A3AAD"/>
    <w:rsid w:val="001B3DDE"/>
    <w:rsid w:val="001C6CE6"/>
    <w:rsid w:val="001D08C1"/>
    <w:rsid w:val="00206F7F"/>
    <w:rsid w:val="00215989"/>
    <w:rsid w:val="00215C45"/>
    <w:rsid w:val="00220164"/>
    <w:rsid w:val="002433E3"/>
    <w:rsid w:val="002441F9"/>
    <w:rsid w:val="002760E0"/>
    <w:rsid w:val="00285B47"/>
    <w:rsid w:val="00290523"/>
    <w:rsid w:val="003B578D"/>
    <w:rsid w:val="003C4569"/>
    <w:rsid w:val="003F6634"/>
    <w:rsid w:val="004303F9"/>
    <w:rsid w:val="004975A7"/>
    <w:rsid w:val="004C00EC"/>
    <w:rsid w:val="004C10EE"/>
    <w:rsid w:val="004C2313"/>
    <w:rsid w:val="004C5744"/>
    <w:rsid w:val="00516FAF"/>
    <w:rsid w:val="00544D2C"/>
    <w:rsid w:val="005860EB"/>
    <w:rsid w:val="0060077C"/>
    <w:rsid w:val="00642745"/>
    <w:rsid w:val="006B60C1"/>
    <w:rsid w:val="006D4815"/>
    <w:rsid w:val="006E2B23"/>
    <w:rsid w:val="006F34D3"/>
    <w:rsid w:val="007072CB"/>
    <w:rsid w:val="007144B5"/>
    <w:rsid w:val="007570A6"/>
    <w:rsid w:val="007C342B"/>
    <w:rsid w:val="007E50EA"/>
    <w:rsid w:val="007F54CC"/>
    <w:rsid w:val="008335D7"/>
    <w:rsid w:val="00900B42"/>
    <w:rsid w:val="009823F3"/>
    <w:rsid w:val="009942F0"/>
    <w:rsid w:val="00996F79"/>
    <w:rsid w:val="009E58A9"/>
    <w:rsid w:val="009E5DC7"/>
    <w:rsid w:val="00A002FB"/>
    <w:rsid w:val="00A17E5E"/>
    <w:rsid w:val="00A303B3"/>
    <w:rsid w:val="00A7711F"/>
    <w:rsid w:val="00A82E3B"/>
    <w:rsid w:val="00A93105"/>
    <w:rsid w:val="00A95057"/>
    <w:rsid w:val="00A95232"/>
    <w:rsid w:val="00A965AA"/>
    <w:rsid w:val="00AA7AE8"/>
    <w:rsid w:val="00AB22B2"/>
    <w:rsid w:val="00AD6E52"/>
    <w:rsid w:val="00B6359D"/>
    <w:rsid w:val="00B6709C"/>
    <w:rsid w:val="00C5342B"/>
    <w:rsid w:val="00C56A6B"/>
    <w:rsid w:val="00C6781D"/>
    <w:rsid w:val="00C8193E"/>
    <w:rsid w:val="00CA09AD"/>
    <w:rsid w:val="00CC2AC8"/>
    <w:rsid w:val="00CD4F7A"/>
    <w:rsid w:val="00D01BDF"/>
    <w:rsid w:val="00D26B06"/>
    <w:rsid w:val="00D71950"/>
    <w:rsid w:val="00DB697C"/>
    <w:rsid w:val="00DF757C"/>
    <w:rsid w:val="00E1619F"/>
    <w:rsid w:val="00E20270"/>
    <w:rsid w:val="00EB2A66"/>
    <w:rsid w:val="00EC2609"/>
    <w:rsid w:val="00EF7132"/>
    <w:rsid w:val="00F0139C"/>
    <w:rsid w:val="00F05048"/>
    <w:rsid w:val="00FB0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0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7C"/>
    <w:pPr>
      <w:spacing w:after="0" w:line="240" w:lineRule="auto"/>
    </w:pPr>
    <w:rPr>
      <w:rFonts w:ascii="Times New Roman" w:eastAsia="Calibri"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697C"/>
    <w:pPr>
      <w:tabs>
        <w:tab w:val="center" w:pos="4513"/>
        <w:tab w:val="right" w:pos="9026"/>
      </w:tabs>
    </w:pPr>
  </w:style>
  <w:style w:type="character" w:customStyle="1" w:styleId="HeaderChar">
    <w:name w:val="Header Char"/>
    <w:basedOn w:val="DefaultParagraphFont"/>
    <w:link w:val="Header"/>
    <w:rsid w:val="00DB697C"/>
    <w:rPr>
      <w:rFonts w:ascii="Times New Roman" w:eastAsia="Calibri" w:hAnsi="Times New Roman" w:cs="Times New Roman"/>
      <w:color w:val="000000"/>
      <w:sz w:val="24"/>
      <w:szCs w:val="20"/>
      <w:lang w:eastAsia="en-AU"/>
    </w:rPr>
  </w:style>
  <w:style w:type="paragraph" w:styleId="ListParagraph">
    <w:name w:val="List Paragraph"/>
    <w:aliases w:val="Bullet point,Recommendation,Dot Point Lvl 1,List Paragraph1,List Paragraph11,List Paragraph111,L,F5 List Paragraph,Dot pt,CV text,Table text,Medium Grid 1 - Accent 21,Numbered Paragraph,List Paragraph2,NFP GP Bulleted List,FooterText,列出段"/>
    <w:basedOn w:val="Normal"/>
    <w:link w:val="ListParagraphChar"/>
    <w:uiPriority w:val="34"/>
    <w:qFormat/>
    <w:rsid w:val="00DB697C"/>
    <w:pPr>
      <w:ind w:left="720"/>
      <w:contextualSpacing/>
    </w:pPr>
    <w:rPr>
      <w:rFonts w:eastAsia="Times New Roman"/>
    </w:rPr>
  </w:style>
  <w:style w:type="paragraph" w:styleId="FootnoteText">
    <w:name w:val="footnote text"/>
    <w:basedOn w:val="Normal"/>
    <w:link w:val="FootnoteTextChar"/>
    <w:semiHidden/>
    <w:rsid w:val="00A82E3B"/>
    <w:rPr>
      <w:rFonts w:ascii="Arial" w:eastAsia="SimSun" w:hAnsi="Arial"/>
      <w:color w:val="auto"/>
      <w:sz w:val="20"/>
      <w:lang w:eastAsia="zh-CN"/>
    </w:rPr>
  </w:style>
  <w:style w:type="character" w:customStyle="1" w:styleId="FootnoteTextChar">
    <w:name w:val="Footnote Text Char"/>
    <w:basedOn w:val="DefaultParagraphFont"/>
    <w:link w:val="FootnoteText"/>
    <w:semiHidden/>
    <w:rsid w:val="00A82E3B"/>
    <w:rPr>
      <w:rFonts w:ascii="Arial" w:eastAsia="SimSun" w:hAnsi="Arial" w:cs="Times New Roman"/>
      <w:sz w:val="20"/>
      <w:szCs w:val="20"/>
      <w:lang w:eastAsia="zh-CN"/>
    </w:rPr>
  </w:style>
  <w:style w:type="character" w:styleId="FootnoteReference">
    <w:name w:val="footnote reference"/>
    <w:basedOn w:val="DefaultParagraphFont"/>
    <w:semiHidden/>
    <w:rsid w:val="00A82E3B"/>
    <w:rPr>
      <w:rFonts w:cs="Times New Roman"/>
      <w:vertAlign w:val="superscript"/>
    </w:rPr>
  </w:style>
  <w:style w:type="character" w:customStyle="1" w:styleId="ListParagraphChar">
    <w:name w:val="List Paragraph Char"/>
    <w:aliases w:val="Bullet point Char,Recommendation Char,Dot Point Lvl 1 Char,List Paragraph1 Char,List Paragraph11 Char,List Paragraph111 Char,L Char,F5 List Paragraph Char,Dot pt Char,CV text Char,Table text Char,Medium Grid 1 - Accent 21 Char"/>
    <w:link w:val="ListParagraph"/>
    <w:uiPriority w:val="34"/>
    <w:qFormat/>
    <w:locked/>
    <w:rsid w:val="00A82E3B"/>
    <w:rPr>
      <w:rFonts w:ascii="Times New Roman" w:eastAsia="Times New Roman" w:hAnsi="Times New Roman" w:cs="Times New Roman"/>
      <w:color w:val="000000"/>
      <w:sz w:val="24"/>
      <w:szCs w:val="20"/>
      <w:lang w:eastAsia="en-AU"/>
    </w:rPr>
  </w:style>
  <w:style w:type="paragraph" w:styleId="Revision">
    <w:name w:val="Revision"/>
    <w:hidden/>
    <w:uiPriority w:val="99"/>
    <w:semiHidden/>
    <w:rsid w:val="00AA7AE8"/>
    <w:pPr>
      <w:spacing w:after="0" w:line="240" w:lineRule="auto"/>
    </w:pPr>
    <w:rPr>
      <w:rFonts w:ascii="Times New Roman" w:eastAsia="Calibri" w:hAnsi="Times New Roman" w:cs="Times New Roman"/>
      <w:color w:val="000000"/>
      <w:sz w:val="24"/>
      <w:szCs w:val="20"/>
      <w:lang w:eastAsia="en-AU"/>
    </w:rPr>
  </w:style>
  <w:style w:type="character" w:styleId="CommentReference">
    <w:name w:val="annotation reference"/>
    <w:basedOn w:val="DefaultParagraphFont"/>
    <w:uiPriority w:val="99"/>
    <w:semiHidden/>
    <w:unhideWhenUsed/>
    <w:rsid w:val="00A7711F"/>
    <w:rPr>
      <w:sz w:val="16"/>
      <w:szCs w:val="16"/>
    </w:rPr>
  </w:style>
  <w:style w:type="paragraph" w:styleId="CommentText">
    <w:name w:val="annotation text"/>
    <w:basedOn w:val="Normal"/>
    <w:link w:val="CommentTextChar"/>
    <w:uiPriority w:val="99"/>
    <w:semiHidden/>
    <w:unhideWhenUsed/>
    <w:rsid w:val="00A7711F"/>
    <w:rPr>
      <w:sz w:val="20"/>
    </w:rPr>
  </w:style>
  <w:style w:type="character" w:customStyle="1" w:styleId="CommentTextChar">
    <w:name w:val="Comment Text Char"/>
    <w:basedOn w:val="DefaultParagraphFont"/>
    <w:link w:val="CommentText"/>
    <w:uiPriority w:val="99"/>
    <w:semiHidden/>
    <w:rsid w:val="00A7711F"/>
    <w:rPr>
      <w:rFonts w:ascii="Times New Roman" w:eastAsia="Calibri"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7711F"/>
    <w:rPr>
      <w:b/>
      <w:bCs/>
    </w:rPr>
  </w:style>
  <w:style w:type="character" w:customStyle="1" w:styleId="CommentSubjectChar">
    <w:name w:val="Comment Subject Char"/>
    <w:basedOn w:val="CommentTextChar"/>
    <w:link w:val="CommentSubject"/>
    <w:uiPriority w:val="99"/>
    <w:semiHidden/>
    <w:rsid w:val="00A7711F"/>
    <w:rPr>
      <w:rFonts w:ascii="Times New Roman" w:eastAsia="Calibri" w:hAnsi="Times New Roman" w:cs="Times New Roman"/>
      <w:b/>
      <w:bCs/>
      <w:color w:val="000000"/>
      <w:sz w:val="20"/>
      <w:szCs w:val="20"/>
      <w:lang w:eastAsia="en-AU"/>
    </w:rPr>
  </w:style>
  <w:style w:type="paragraph" w:styleId="Footer">
    <w:name w:val="footer"/>
    <w:basedOn w:val="Normal"/>
    <w:link w:val="FooterChar"/>
    <w:uiPriority w:val="99"/>
    <w:unhideWhenUsed/>
    <w:rsid w:val="00EB2A66"/>
    <w:pPr>
      <w:tabs>
        <w:tab w:val="center" w:pos="4680"/>
        <w:tab w:val="right" w:pos="9360"/>
      </w:tabs>
    </w:pPr>
  </w:style>
  <w:style w:type="character" w:customStyle="1" w:styleId="FooterChar">
    <w:name w:val="Footer Char"/>
    <w:basedOn w:val="DefaultParagraphFont"/>
    <w:link w:val="Footer"/>
    <w:uiPriority w:val="99"/>
    <w:rsid w:val="00EB2A66"/>
    <w:rPr>
      <w:rFonts w:ascii="Times New Roman" w:eastAsia="Calibri" w:hAnsi="Times New Roman" w:cs="Times New Roman"/>
      <w:color w:val="000000"/>
      <w:sz w:val="24"/>
      <w:szCs w:val="20"/>
      <w:lang w:eastAsia="en-AU"/>
    </w:rPr>
  </w:style>
  <w:style w:type="character" w:styleId="Hyperlink">
    <w:name w:val="Hyperlink"/>
    <w:basedOn w:val="DefaultParagraphFont"/>
    <w:uiPriority w:val="99"/>
    <w:unhideWhenUsed/>
    <w:rsid w:val="004C10EE"/>
    <w:rPr>
      <w:color w:val="0563C1" w:themeColor="hyperlink"/>
      <w:u w:val="single"/>
    </w:rPr>
  </w:style>
  <w:style w:type="character" w:styleId="UnresolvedMention">
    <w:name w:val="Unresolved Mention"/>
    <w:basedOn w:val="DefaultParagraphFont"/>
    <w:uiPriority w:val="99"/>
    <w:semiHidden/>
    <w:unhideWhenUsed/>
    <w:rsid w:val="004C1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Oct/CoerciveControlBill/Attachments/S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0930F-3665-47BE-B3B7-AAB0B558E03C}">
  <ds:schemaRefs>
    <ds:schemaRef ds:uri="http://schemas.microsoft.com/sharepoint/v3/contenttype/forms"/>
  </ds:schemaRefs>
</ds:datastoreItem>
</file>

<file path=customXml/itemProps2.xml><?xml version="1.0" encoding="utf-8"?>
<ds:datastoreItem xmlns:ds="http://schemas.openxmlformats.org/officeDocument/2006/customXml" ds:itemID="{B7DD481B-76D1-49BE-877B-D8933B583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2411</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Base>http://cabinet2.tstweb.premiers.qld.gov.au/devdocuments/2023/Oct/CoerciveControlBill/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2023-12-04T01:59:00Z</dcterms:created>
  <dcterms:modified xsi:type="dcterms:W3CDTF">2024-04-09T01:41:00Z</dcterms:modified>
  <cp:category>Domestic_and_Family_Violence,Domestic_Violence,Justice,Legislation,Safety,Women</cp:category>
</cp:coreProperties>
</file>